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DAEE5" w14:textId="77777777" w:rsidR="00272FB1" w:rsidRPr="00465DB5" w:rsidRDefault="00272FB1" w:rsidP="00FA3BF3">
      <w:pPr>
        <w:pStyle w:val="PlainText"/>
        <w:spacing w:line="27" w:lineRule="atLeast"/>
        <w:jc w:val="both"/>
        <w:rPr>
          <w:i/>
          <w:iCs/>
          <w:sz w:val="22"/>
          <w:szCs w:val="22"/>
        </w:rPr>
      </w:pPr>
      <w:r w:rsidRPr="00465DB5">
        <w:rPr>
          <w:rFonts w:ascii="Times New Roman" w:eastAsia="PMingLiU" w:hAnsi="Times New Roman" w:cs="Times New Roman" w:hint="eastAsia"/>
          <w:i/>
          <w:iCs/>
          <w:kern w:val="0"/>
          <w:sz w:val="22"/>
          <w:szCs w:val="22"/>
        </w:rPr>
        <w:t>香港交易及結算所有限公司及香港聯合交易所有限公司對本公佈的內容概不負責，對其準確性或完整性亦不發表任何聲明，並明確地表示概不就因本公佈全部或任何部分內容而產生或因依賴該等內容而引致的任何損失承擔任何責任。</w:t>
      </w:r>
    </w:p>
    <w:p w14:paraId="27AB545F" w14:textId="77777777" w:rsidR="00272FB1" w:rsidRPr="00465DB5" w:rsidRDefault="00272FB1" w:rsidP="00862250">
      <w:pPr>
        <w:widowControl w:val="0"/>
        <w:autoSpaceDE w:val="0"/>
        <w:autoSpaceDN w:val="0"/>
        <w:adjustRightInd w:val="0"/>
        <w:jc w:val="both"/>
        <w:rPr>
          <w:i/>
          <w:iCs/>
          <w:sz w:val="22"/>
          <w:szCs w:val="22"/>
        </w:rPr>
      </w:pPr>
    </w:p>
    <w:p w14:paraId="72D0776E" w14:textId="77777777" w:rsidR="00272FB1" w:rsidRPr="00465DB5" w:rsidRDefault="00272FB1" w:rsidP="00862250">
      <w:pPr>
        <w:widowControl w:val="0"/>
        <w:autoSpaceDE w:val="0"/>
        <w:autoSpaceDN w:val="0"/>
        <w:adjustRightInd w:val="0"/>
        <w:jc w:val="both"/>
        <w:rPr>
          <w:i/>
          <w:iCs/>
          <w:sz w:val="22"/>
          <w:szCs w:val="22"/>
        </w:rPr>
      </w:pPr>
      <w:r w:rsidRPr="00465DB5">
        <w:rPr>
          <w:rFonts w:hint="eastAsia"/>
          <w:i/>
          <w:iCs/>
          <w:sz w:val="22"/>
          <w:szCs w:val="22"/>
        </w:rPr>
        <w:t>本公佈僅供參考，並不構成購入、購買或認購下述結構性產品的邀請或要約。</w:t>
      </w:r>
    </w:p>
    <w:p w14:paraId="4282BCA2" w14:textId="77777777" w:rsidR="00272FB1" w:rsidRPr="00F35321" w:rsidRDefault="00272FB1" w:rsidP="00883013">
      <w:pPr>
        <w:jc w:val="center"/>
        <w:rPr>
          <w:b/>
        </w:rPr>
      </w:pPr>
    </w:p>
    <w:p w14:paraId="2C8B6E7E" w14:textId="77777777" w:rsidR="00272FB1" w:rsidRDefault="00272FB1" w:rsidP="00CF7F29">
      <w:pPr>
        <w:jc w:val="center"/>
        <w:rPr>
          <w:b/>
          <w:bCs/>
          <w:sz w:val="28"/>
        </w:rPr>
      </w:pPr>
      <w:r>
        <w:rPr>
          <w:rFonts w:hint="eastAsia"/>
          <w:b/>
          <w:bCs/>
          <w:sz w:val="28"/>
        </w:rPr>
        <w:t>無抵押結構性產品</w:t>
      </w:r>
    </w:p>
    <w:p w14:paraId="7C1A90DE" w14:textId="77777777" w:rsidR="00272FB1" w:rsidRDefault="00272FB1" w:rsidP="00CF7F29">
      <w:pPr>
        <w:jc w:val="center"/>
        <w:rPr>
          <w:b/>
          <w:bCs/>
          <w:sz w:val="28"/>
        </w:rPr>
      </w:pPr>
    </w:p>
    <w:p w14:paraId="22347E39" w14:textId="77777777" w:rsidR="00272FB1" w:rsidRPr="0057798E" w:rsidRDefault="00272FB1" w:rsidP="00CF7F29">
      <w:pPr>
        <w:jc w:val="center"/>
        <w:rPr>
          <w:b/>
          <w:bCs/>
          <w:sz w:val="28"/>
        </w:rPr>
      </w:pPr>
      <w:r>
        <w:rPr>
          <w:rFonts w:hint="eastAsia"/>
          <w:b/>
          <w:bCs/>
          <w:sz w:val="28"/>
        </w:rPr>
        <w:t>由</w:t>
      </w:r>
    </w:p>
    <w:p w14:paraId="52DB27FF" w14:textId="77777777" w:rsidR="00272FB1" w:rsidRPr="0057798E" w:rsidRDefault="00551262" w:rsidP="00CF7F29">
      <w:pPr>
        <w:pStyle w:val="BodyText"/>
        <w:jc w:val="center"/>
        <w:rPr>
          <w:color w:val="000000"/>
          <w:lang w:eastAsia="zh-TW"/>
        </w:rPr>
      </w:pPr>
      <w:r>
        <w:rPr>
          <w:noProof/>
          <w:lang w:eastAsia="zh-CN"/>
        </w:rPr>
        <w:drawing>
          <wp:anchor distT="0" distB="0" distL="114300" distR="114300" simplePos="0" relativeHeight="251658240" behindDoc="0" locked="0" layoutInCell="1" allowOverlap="1" wp14:anchorId="66C89101" wp14:editId="376FC914">
            <wp:simplePos x="0" y="0"/>
            <wp:positionH relativeFrom="column">
              <wp:posOffset>2600960</wp:posOffset>
            </wp:positionH>
            <wp:positionV relativeFrom="paragraph">
              <wp:posOffset>33020</wp:posOffset>
            </wp:positionV>
            <wp:extent cx="1067435" cy="454660"/>
            <wp:effectExtent l="0" t="0" r="0" b="254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7435" cy="454660"/>
                    </a:xfrm>
                    <a:prstGeom prst="rect">
                      <a:avLst/>
                    </a:prstGeom>
                    <a:noFill/>
                  </pic:spPr>
                </pic:pic>
              </a:graphicData>
            </a:graphic>
            <wp14:sizeRelH relativeFrom="page">
              <wp14:pctWidth>0</wp14:pctWidth>
            </wp14:sizeRelH>
            <wp14:sizeRelV relativeFrom="page">
              <wp14:pctHeight>0</wp14:pctHeight>
            </wp14:sizeRelV>
          </wp:anchor>
        </w:drawing>
      </w:r>
    </w:p>
    <w:p w14:paraId="3C9A52EE" w14:textId="77777777" w:rsidR="00272FB1" w:rsidRDefault="00272FB1" w:rsidP="00CF7F29">
      <w:pPr>
        <w:pStyle w:val="Subtitle"/>
      </w:pPr>
      <w:r w:rsidRPr="0057798E">
        <w:rPr>
          <w:color w:val="000000"/>
          <w:szCs w:val="28"/>
        </w:rPr>
        <w:br/>
      </w:r>
      <w:r>
        <w:rPr>
          <w:rFonts w:hint="eastAsia"/>
        </w:rPr>
        <w:t>瑞士銀行</w:t>
      </w:r>
    </w:p>
    <w:p w14:paraId="076C4084" w14:textId="77777777" w:rsidR="00272FB1" w:rsidRDefault="00272FB1" w:rsidP="00CF7F29">
      <w:pPr>
        <w:pStyle w:val="Subtitle"/>
      </w:pPr>
      <w:r>
        <w:t>(UBS AG)</w:t>
      </w:r>
    </w:p>
    <w:p w14:paraId="5EF3C970" w14:textId="77777777" w:rsidR="00272FB1" w:rsidRDefault="00272FB1" w:rsidP="00CF7F29">
      <w:pPr>
        <w:pStyle w:val="PlainText"/>
        <w:spacing w:line="27" w:lineRule="atLeast"/>
        <w:jc w:val="center"/>
        <w:rPr>
          <w:rFonts w:ascii="Times New Roman" w:hAnsi="Times New Roman" w:cs="Times New Roman"/>
          <w:sz w:val="22"/>
          <w:szCs w:val="22"/>
        </w:rPr>
      </w:pPr>
      <w:r w:rsidRPr="0057798E">
        <w:rPr>
          <w:rFonts w:ascii="Times New Roman" w:hAnsi="Times New Roman" w:cs="Times New Roman"/>
          <w:sz w:val="22"/>
          <w:szCs w:val="22"/>
        </w:rPr>
        <w:t xml:space="preserve"> </w:t>
      </w:r>
      <w:r>
        <w:rPr>
          <w:rFonts w:ascii="Times New Roman" w:hAnsi="Times New Roman" w:cs="Times New Roman" w:hint="eastAsia"/>
          <w:sz w:val="22"/>
          <w:szCs w:val="22"/>
        </w:rPr>
        <w:t>（</w:t>
      </w:r>
      <w:r>
        <w:rPr>
          <w:rFonts w:ascii="Times New Roman" w:hAnsi="Times New Roman" w:cs="Times New Roman" w:hint="eastAsia"/>
          <w:i/>
          <w:iCs/>
          <w:sz w:val="22"/>
          <w:szCs w:val="22"/>
        </w:rPr>
        <w:t>於瑞士註冊成立之有限責任公司</w:t>
      </w:r>
      <w:r>
        <w:rPr>
          <w:rFonts w:ascii="Times New Roman" w:hAnsi="Times New Roman" w:cs="Times New Roman" w:hint="eastAsia"/>
          <w:sz w:val="22"/>
          <w:szCs w:val="22"/>
        </w:rPr>
        <w:t>）</w:t>
      </w:r>
    </w:p>
    <w:p w14:paraId="4983C473" w14:textId="77777777" w:rsidR="00272FB1" w:rsidRPr="0057798E" w:rsidRDefault="00272FB1" w:rsidP="00CF7F29">
      <w:pPr>
        <w:pStyle w:val="PlainText"/>
        <w:spacing w:line="27" w:lineRule="atLeast"/>
        <w:jc w:val="center"/>
        <w:rPr>
          <w:rFonts w:ascii="Times New Roman" w:hAnsi="Times New Roman" w:cs="Times New Roman"/>
          <w:b/>
          <w:sz w:val="22"/>
          <w:szCs w:val="22"/>
        </w:rPr>
      </w:pPr>
      <w:r>
        <w:rPr>
          <w:rFonts w:ascii="Times New Roman" w:hAnsi="Times New Roman" w:cs="Times New Roman" w:hint="eastAsia"/>
          <w:b/>
          <w:sz w:val="22"/>
          <w:szCs w:val="22"/>
        </w:rPr>
        <w:t>透過其倫敦分行行事</w:t>
      </w:r>
    </w:p>
    <w:p w14:paraId="5F1445CB" w14:textId="77777777" w:rsidR="00272FB1" w:rsidRDefault="00272FB1" w:rsidP="00CF7F29">
      <w:pPr>
        <w:pStyle w:val="PlainText"/>
        <w:spacing w:line="27" w:lineRule="atLeast"/>
        <w:jc w:val="center"/>
        <w:rPr>
          <w:rFonts w:ascii="Times New Roman" w:hAnsi="Times New Roman" w:cs="Times New Roman"/>
          <w:b/>
          <w:sz w:val="22"/>
          <w:szCs w:val="22"/>
        </w:rPr>
      </w:pPr>
    </w:p>
    <w:p w14:paraId="27C66AAB" w14:textId="77777777" w:rsidR="00272FB1" w:rsidRPr="00CF7F29" w:rsidRDefault="00272FB1" w:rsidP="00CF7F29">
      <w:pPr>
        <w:pStyle w:val="PlainText"/>
        <w:spacing w:line="27" w:lineRule="atLeast"/>
        <w:jc w:val="center"/>
        <w:rPr>
          <w:rFonts w:ascii="Times New Roman" w:eastAsia="PMingLiU" w:hAnsi="Times New Roman" w:cs="Times New Roman"/>
          <w:bCs/>
          <w:kern w:val="0"/>
          <w:lang w:val="en-AU"/>
        </w:rPr>
      </w:pPr>
      <w:r w:rsidRPr="00CF7F29">
        <w:rPr>
          <w:rFonts w:ascii="Times New Roman" w:eastAsia="PMingLiU" w:hAnsi="Times New Roman" w:cs="Times New Roman" w:hint="eastAsia"/>
          <w:bCs/>
          <w:kern w:val="0"/>
          <w:lang w:val="en-AU"/>
        </w:rPr>
        <w:t>發行</w:t>
      </w:r>
    </w:p>
    <w:p w14:paraId="01F6E782" w14:textId="77777777" w:rsidR="00272FB1" w:rsidRPr="00CF7F29" w:rsidRDefault="00272FB1" w:rsidP="00CF7F29">
      <w:pPr>
        <w:pStyle w:val="PlainText"/>
        <w:spacing w:line="27" w:lineRule="atLeast"/>
        <w:jc w:val="center"/>
        <w:rPr>
          <w:rFonts w:ascii="Times New Roman" w:eastAsia="PMingLiU" w:hAnsi="Times New Roman" w:cs="Times New Roman"/>
          <w:b/>
          <w:bCs/>
          <w:kern w:val="0"/>
          <w:lang w:val="en-AU"/>
        </w:rPr>
      </w:pPr>
      <w:r w:rsidRPr="00CF7F29">
        <w:rPr>
          <w:rFonts w:ascii="Times New Roman" w:eastAsia="PMingLiU" w:hAnsi="Times New Roman" w:cs="Times New Roman" w:hint="eastAsia"/>
          <w:bCs/>
          <w:kern w:val="0"/>
          <w:lang w:val="en-AU"/>
        </w:rPr>
        <w:t>有關結構性產品的</w:t>
      </w:r>
    </w:p>
    <w:p w14:paraId="781C2158" w14:textId="77777777" w:rsidR="00272FB1" w:rsidRDefault="00272FB1" w:rsidP="00CF7F29">
      <w:pPr>
        <w:pStyle w:val="PlainText"/>
        <w:spacing w:line="27" w:lineRule="atLeast"/>
        <w:jc w:val="center"/>
        <w:rPr>
          <w:rFonts w:ascii="Times New Roman" w:eastAsia="PMingLiU" w:hAnsi="Times New Roman" w:cs="Times New Roman"/>
          <w:b/>
          <w:bCs/>
          <w:kern w:val="0"/>
          <w:sz w:val="28"/>
          <w:lang w:val="en-AU"/>
        </w:rPr>
      </w:pPr>
      <w:r w:rsidRPr="00482393">
        <w:rPr>
          <w:rFonts w:ascii="Times New Roman" w:eastAsia="PMingLiU" w:hAnsi="Times New Roman" w:cs="Times New Roman" w:hint="eastAsia"/>
          <w:b/>
          <w:bCs/>
          <w:kern w:val="0"/>
          <w:sz w:val="28"/>
          <w:lang w:val="en-AU"/>
        </w:rPr>
        <w:t>流通量提供服務中斷</w:t>
      </w:r>
      <w:r w:rsidR="00D41A75" w:rsidRPr="00482393">
        <w:rPr>
          <w:rFonts w:ascii="Times New Roman" w:eastAsia="PMingLiU" w:hAnsi="Times New Roman" w:cs="Times New Roman" w:hint="eastAsia"/>
          <w:b/>
          <w:bCs/>
          <w:kern w:val="0"/>
          <w:sz w:val="28"/>
          <w:lang w:val="en-AU"/>
        </w:rPr>
        <w:t>及恢復</w:t>
      </w:r>
    </w:p>
    <w:p w14:paraId="6A3812DF" w14:textId="77777777" w:rsidR="00272FB1" w:rsidRPr="0057798E" w:rsidRDefault="00272FB1" w:rsidP="00CF7F29">
      <w:pPr>
        <w:pStyle w:val="PlainText"/>
        <w:spacing w:line="27" w:lineRule="atLeast"/>
        <w:jc w:val="center"/>
        <w:rPr>
          <w:rFonts w:ascii="Times New Roman" w:hAnsi="Times New Roman" w:cs="Times New Roman"/>
          <w:b/>
          <w:sz w:val="22"/>
          <w:szCs w:val="22"/>
        </w:rPr>
      </w:pPr>
    </w:p>
    <w:p w14:paraId="0438E722" w14:textId="77777777" w:rsidR="00272FB1" w:rsidRPr="0057798E" w:rsidRDefault="00272FB1" w:rsidP="00CF7F29">
      <w:pPr>
        <w:pStyle w:val="PlainText"/>
        <w:spacing w:line="27" w:lineRule="atLeast"/>
        <w:jc w:val="center"/>
        <w:rPr>
          <w:rFonts w:ascii="Times New Roman" w:hAnsi="Times New Roman" w:cs="Times New Roman"/>
          <w:b/>
          <w:sz w:val="22"/>
          <w:szCs w:val="22"/>
        </w:rPr>
      </w:pPr>
      <w:r>
        <w:rPr>
          <w:rFonts w:ascii="Times New Roman" w:hAnsi="Times New Roman" w:cs="Times New Roman" w:hint="eastAsia"/>
          <w:b/>
          <w:sz w:val="22"/>
          <w:szCs w:val="22"/>
        </w:rPr>
        <w:t>保薦人</w:t>
      </w:r>
    </w:p>
    <w:p w14:paraId="1607A8F8" w14:textId="77777777" w:rsidR="00272FB1" w:rsidRPr="00851F2B" w:rsidRDefault="00272FB1" w:rsidP="00CF7F29">
      <w:pPr>
        <w:pStyle w:val="PlainText"/>
        <w:spacing w:line="27" w:lineRule="atLeast"/>
        <w:jc w:val="center"/>
        <w:rPr>
          <w:rFonts w:ascii="Times New Roman" w:hAnsi="Times New Roman" w:cs="Times New Roman"/>
          <w:b/>
        </w:rPr>
      </w:pPr>
      <w:r w:rsidRPr="00851F2B">
        <w:rPr>
          <w:rFonts w:ascii="Times New Roman" w:hAnsi="Times New Roman" w:cs="Times New Roman" w:hint="eastAsia"/>
          <w:b/>
        </w:rPr>
        <w:t>瑞銀証券亞洲有限公司</w:t>
      </w:r>
    </w:p>
    <w:p w14:paraId="3EE9EC9D" w14:textId="77777777" w:rsidR="00272FB1" w:rsidRPr="0057798E" w:rsidRDefault="00272FB1" w:rsidP="00CF7F29">
      <w:pPr>
        <w:pStyle w:val="PlainText"/>
        <w:spacing w:line="27" w:lineRule="atLeast"/>
        <w:jc w:val="center"/>
      </w:pPr>
      <w:r>
        <w:rPr>
          <w:rFonts w:ascii="Times New Roman" w:hAnsi="Times New Roman" w:cs="Times New Roman" w:hint="eastAsia"/>
          <w:b/>
          <w:bCs/>
        </w:rPr>
        <w:t>（</w:t>
      </w:r>
      <w:r w:rsidRPr="0057798E">
        <w:rPr>
          <w:rFonts w:ascii="Times New Roman" w:hAnsi="Times New Roman" w:cs="Times New Roman"/>
          <w:b/>
          <w:bCs/>
        </w:rPr>
        <w:t>UBS SECURITIES ASIA LIMITED</w:t>
      </w:r>
      <w:r>
        <w:rPr>
          <w:rFonts w:ascii="Times New Roman" w:hAnsi="Times New Roman" w:cs="Times New Roman" w:hint="eastAsia"/>
          <w:b/>
          <w:bCs/>
        </w:rPr>
        <w:t>）</w:t>
      </w:r>
    </w:p>
    <w:p w14:paraId="2F27178E" w14:textId="77777777" w:rsidR="00272FB1" w:rsidRDefault="00272FB1" w:rsidP="00883013">
      <w:pPr>
        <w:jc w:val="center"/>
        <w:rPr>
          <w:b/>
        </w:rPr>
      </w:pPr>
    </w:p>
    <w:p w14:paraId="09BF783C" w14:textId="14990D46" w:rsidR="00272FB1" w:rsidRDefault="00272FB1" w:rsidP="00837C5E">
      <w:pPr>
        <w:pStyle w:val="PlainText"/>
        <w:spacing w:line="27" w:lineRule="atLeast"/>
        <w:jc w:val="center"/>
        <w:rPr>
          <w:rFonts w:ascii="Times New Roman" w:eastAsia="PMingLiU" w:hAnsi="Times New Roman" w:cs="Times New Roman"/>
          <w:b/>
          <w:bCs/>
          <w:kern w:val="0"/>
          <w:sz w:val="28"/>
          <w:lang w:val="en-AU"/>
        </w:rPr>
      </w:pPr>
      <w:r w:rsidRPr="005476AE">
        <w:rPr>
          <w:rFonts w:ascii="Times New Roman" w:eastAsia="PMingLiU" w:hAnsi="Times New Roman" w:cs="Times New Roman" w:hint="eastAsia"/>
          <w:b/>
          <w:bCs/>
          <w:kern w:val="0"/>
          <w:sz w:val="28"/>
          <w:lang w:val="en-AU"/>
        </w:rPr>
        <w:t>公佈</w:t>
      </w:r>
    </w:p>
    <w:p w14:paraId="4E9EE58F" w14:textId="77777777" w:rsidR="00D127C4" w:rsidRPr="005476AE" w:rsidRDefault="00D127C4" w:rsidP="00837C5E">
      <w:pPr>
        <w:pStyle w:val="PlainText"/>
        <w:spacing w:line="27" w:lineRule="atLeast"/>
        <w:jc w:val="center"/>
        <w:rPr>
          <w:rFonts w:ascii="Times New Roman" w:eastAsia="PMingLiU" w:hAnsi="Times New Roman" w:cs="Times New Roman"/>
          <w:b/>
          <w:bCs/>
          <w:kern w:val="0"/>
          <w:sz w:val="28"/>
          <w:lang w:val="en-AU"/>
        </w:rPr>
      </w:pPr>
    </w:p>
    <w:p w14:paraId="11743A84" w14:textId="5E6D2135" w:rsidR="00272FB1" w:rsidRDefault="00272FB1" w:rsidP="00883013">
      <w:pPr>
        <w:jc w:val="both"/>
      </w:pPr>
      <w:r>
        <w:rPr>
          <w:rFonts w:hint="eastAsia"/>
        </w:rPr>
        <w:t>本公佈謹此通知</w:t>
      </w:r>
      <w:r w:rsidRPr="00C951A1">
        <w:rPr>
          <w:rFonts w:hint="eastAsia"/>
        </w:rPr>
        <w:t>投資者，由於技術問題，下列流通量提供者就我們於香港聯合交易所有限公司上市的</w:t>
      </w:r>
      <w:r w:rsidRPr="00482393">
        <w:rPr>
          <w:rFonts w:hint="eastAsia"/>
        </w:rPr>
        <w:t>部</w:t>
      </w:r>
      <w:r w:rsidR="00524853" w:rsidRPr="00482393">
        <w:rPr>
          <w:rFonts w:hint="eastAsia"/>
        </w:rPr>
        <w:t>分</w:t>
      </w:r>
      <w:r w:rsidRPr="00C951A1">
        <w:rPr>
          <w:rFonts w:hint="eastAsia"/>
        </w:rPr>
        <w:t>結構性產品的報價</w:t>
      </w:r>
      <w:r w:rsidR="009907F0" w:rsidRPr="00CF6666">
        <w:rPr>
          <w:rFonts w:hint="eastAsia"/>
        </w:rPr>
        <w:t>暫時</w:t>
      </w:r>
      <w:r w:rsidR="009907F0" w:rsidRPr="00C951A1">
        <w:rPr>
          <w:rFonts w:hint="eastAsia"/>
        </w:rPr>
        <w:t>受影響</w:t>
      </w:r>
      <w:r>
        <w:rPr>
          <w:rFonts w:hint="eastAsia"/>
        </w:rPr>
        <w:t>：</w:t>
      </w:r>
    </w:p>
    <w:p w14:paraId="3A9C2DE2" w14:textId="77777777" w:rsidR="00D127C4" w:rsidRDefault="00D127C4" w:rsidP="00883013">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670"/>
      </w:tblGrid>
      <w:tr w:rsidR="00272FB1" w14:paraId="6BB98F27" w14:textId="77777777" w:rsidTr="008D139C">
        <w:tc>
          <w:tcPr>
            <w:tcW w:w="4077" w:type="dxa"/>
          </w:tcPr>
          <w:p w14:paraId="32F58D94" w14:textId="77777777" w:rsidR="00272FB1" w:rsidRDefault="00272FB1" w:rsidP="008D139C">
            <w:pPr>
              <w:tabs>
                <w:tab w:val="left" w:pos="3686"/>
              </w:tabs>
            </w:pPr>
            <w:r>
              <w:rPr>
                <w:rFonts w:hint="eastAsia"/>
              </w:rPr>
              <w:t>受影響流通量提供者名稱</w:t>
            </w:r>
            <w:r>
              <w:tab/>
            </w:r>
            <w:r>
              <w:tab/>
            </w:r>
          </w:p>
        </w:tc>
        <w:tc>
          <w:tcPr>
            <w:tcW w:w="5670" w:type="dxa"/>
          </w:tcPr>
          <w:p w14:paraId="649F940D" w14:textId="77777777" w:rsidR="00A02A24" w:rsidRDefault="00272FB1" w:rsidP="008D139C">
            <w:pPr>
              <w:tabs>
                <w:tab w:val="left" w:pos="3969"/>
              </w:tabs>
              <w:rPr>
                <w:rFonts w:ascii="PMingLiU" w:hAnsi="PMingLiU"/>
                <w:szCs w:val="23"/>
              </w:rPr>
            </w:pPr>
            <w:r w:rsidRPr="008D139C">
              <w:rPr>
                <w:rFonts w:ascii="PMingLiU" w:hAnsi="PMingLiU" w:hint="eastAsia"/>
                <w:szCs w:val="23"/>
              </w:rPr>
              <w:t>瑞銀証券香港有限公司</w:t>
            </w:r>
          </w:p>
          <w:p w14:paraId="0AD608C2" w14:textId="58FF9FEC" w:rsidR="00272FB1" w:rsidRPr="00AC5EF5" w:rsidRDefault="00272FB1" w:rsidP="008D139C">
            <w:pPr>
              <w:tabs>
                <w:tab w:val="left" w:pos="3969"/>
              </w:tabs>
              <w:rPr>
                <w:rFonts w:ascii="PMingLiU"/>
                <w:szCs w:val="23"/>
                <w:lang w:val="en-AU"/>
              </w:rPr>
            </w:pPr>
            <w:r w:rsidRPr="008D139C">
              <w:rPr>
                <w:rFonts w:ascii="PMingLiU" w:hAnsi="PMingLiU"/>
                <w:szCs w:val="23"/>
              </w:rPr>
              <w:t>(</w:t>
            </w:r>
            <w:r>
              <w:t>UBS Securities Hong Kong Limited)</w:t>
            </w:r>
          </w:p>
          <w:p w14:paraId="29A9A206" w14:textId="0A26E58E" w:rsidR="00144B60" w:rsidRPr="00327018" w:rsidRDefault="00144B60" w:rsidP="008D139C">
            <w:pPr>
              <w:tabs>
                <w:tab w:val="left" w:pos="3969"/>
              </w:tabs>
            </w:pPr>
            <w:r w:rsidRPr="00144B60">
              <w:t>(</w:t>
            </w:r>
            <w:r w:rsidRPr="00144B60">
              <w:t>流通量提供者經紀編號</w:t>
            </w:r>
            <w:r w:rsidRPr="00144B60">
              <w:t>:</w:t>
            </w:r>
            <w:r>
              <w:t xml:space="preserve"> </w:t>
            </w:r>
            <w:r w:rsidR="00482393">
              <w:t>9740</w:t>
            </w:r>
            <w:r w:rsidR="00482393" w:rsidRPr="00482393">
              <w:rPr>
                <w:rFonts w:hint="eastAsia"/>
              </w:rPr>
              <w:t>和</w:t>
            </w:r>
            <w:r w:rsidR="00482393">
              <w:t>9763</w:t>
            </w:r>
            <w:r w:rsidRPr="00144B60">
              <w:t>)</w:t>
            </w:r>
          </w:p>
        </w:tc>
      </w:tr>
      <w:tr w:rsidR="00272FB1" w14:paraId="281F7D2B" w14:textId="77777777" w:rsidTr="008D139C">
        <w:tc>
          <w:tcPr>
            <w:tcW w:w="4077" w:type="dxa"/>
          </w:tcPr>
          <w:p w14:paraId="48B5B63E" w14:textId="77777777" w:rsidR="00272FB1" w:rsidRPr="00B0187C" w:rsidRDefault="00272FB1" w:rsidP="008D139C">
            <w:pPr>
              <w:tabs>
                <w:tab w:val="left" w:pos="3686"/>
              </w:tabs>
            </w:pPr>
            <w:r>
              <w:rPr>
                <w:rFonts w:hint="eastAsia"/>
              </w:rPr>
              <w:t>受影響結構性產品</w:t>
            </w:r>
            <w:r>
              <w:tab/>
            </w:r>
          </w:p>
        </w:tc>
        <w:tc>
          <w:tcPr>
            <w:tcW w:w="5670" w:type="dxa"/>
          </w:tcPr>
          <w:p w14:paraId="4109982B" w14:textId="693FE516" w:rsidR="0007480C" w:rsidRPr="0007480C" w:rsidRDefault="00A32820" w:rsidP="0007480C">
            <w:pPr>
              <w:tabs>
                <w:tab w:val="left" w:pos="3969"/>
              </w:tabs>
              <w:rPr>
                <w:rFonts w:eastAsiaTheme="minorEastAsia"/>
              </w:rPr>
            </w:pPr>
            <w:r w:rsidRPr="0028664C">
              <w:rPr>
                <w:rFonts w:hint="eastAsia"/>
              </w:rPr>
              <w:t>有關經紀編號</w:t>
            </w:r>
            <w:r>
              <w:t xml:space="preserve"> </w:t>
            </w:r>
            <w:r w:rsidR="00482393">
              <w:t xml:space="preserve">9740 </w:t>
            </w:r>
            <w:r w:rsidR="00482393">
              <w:rPr>
                <w:rFonts w:hint="eastAsia"/>
              </w:rPr>
              <w:t>和</w:t>
            </w:r>
            <w:r w:rsidR="00482393">
              <w:t>9763</w:t>
            </w:r>
            <w:r w:rsidRPr="00BB713B">
              <w:rPr>
                <w:rFonts w:hint="eastAsia"/>
              </w:rPr>
              <w:t>的</w:t>
            </w:r>
            <w:r w:rsidR="00BC22B4" w:rsidRPr="00482393">
              <w:rPr>
                <w:rFonts w:hint="eastAsia"/>
              </w:rPr>
              <w:t>全部</w:t>
            </w:r>
            <w:r w:rsidRPr="0028664C">
              <w:rPr>
                <w:rFonts w:hint="eastAsia"/>
              </w:rPr>
              <w:t>未到期結構性產品</w:t>
            </w:r>
          </w:p>
        </w:tc>
      </w:tr>
      <w:tr w:rsidR="00272FB1" w14:paraId="0AB6ABE0" w14:textId="77777777" w:rsidTr="008D139C">
        <w:tc>
          <w:tcPr>
            <w:tcW w:w="4077" w:type="dxa"/>
          </w:tcPr>
          <w:p w14:paraId="5B11A267" w14:textId="77777777" w:rsidR="00272FB1" w:rsidRPr="00B0187C" w:rsidRDefault="00272FB1" w:rsidP="00B44704">
            <w:r>
              <w:rPr>
                <w:rFonts w:hint="eastAsia"/>
              </w:rPr>
              <w:t>受影響期間</w:t>
            </w:r>
            <w:r>
              <w:tab/>
            </w:r>
          </w:p>
        </w:tc>
        <w:tc>
          <w:tcPr>
            <w:tcW w:w="5670" w:type="dxa"/>
          </w:tcPr>
          <w:p w14:paraId="4E9023B5" w14:textId="333AE296" w:rsidR="001F5DF4" w:rsidRPr="00330962" w:rsidRDefault="00852DD9" w:rsidP="00852DD9">
            <w:pPr>
              <w:tabs>
                <w:tab w:val="left" w:pos="3969"/>
              </w:tabs>
              <w:rPr>
                <w:rFonts w:hint="eastAsia"/>
              </w:rPr>
            </w:pPr>
            <w:r w:rsidRPr="00C12266">
              <w:rPr>
                <w:rFonts w:ascii="SimSun" w:hAnsi="SimSun" w:hint="eastAsia"/>
              </w:rPr>
              <w:t>自</w:t>
            </w:r>
            <w:r w:rsidRPr="000A22EA">
              <w:t>今天</w:t>
            </w:r>
            <w:r w:rsidR="00482393">
              <w:rPr>
                <w:rFonts w:hint="eastAsia"/>
              </w:rPr>
              <w:t>9</w:t>
            </w:r>
            <w:r w:rsidR="00482393">
              <w:t>:35 am</w:t>
            </w:r>
            <w:r w:rsidRPr="002307B1">
              <w:t>起至</w:t>
            </w:r>
            <w:r w:rsidR="00482393">
              <w:rPr>
                <w:rFonts w:hint="eastAsia"/>
              </w:rPr>
              <w:t xml:space="preserve"> </w:t>
            </w:r>
            <w:r w:rsidR="00482393">
              <w:t>10:11 am</w:t>
            </w:r>
          </w:p>
        </w:tc>
      </w:tr>
      <w:tr w:rsidR="00272FB1" w14:paraId="2335B1CC" w14:textId="77777777" w:rsidTr="008D139C">
        <w:tc>
          <w:tcPr>
            <w:tcW w:w="4077" w:type="dxa"/>
          </w:tcPr>
          <w:p w14:paraId="1CEC710A" w14:textId="77777777" w:rsidR="00272FB1" w:rsidRPr="00B0187C" w:rsidRDefault="00272FB1" w:rsidP="008D139C">
            <w:pPr>
              <w:tabs>
                <w:tab w:val="left" w:pos="3686"/>
              </w:tabs>
            </w:pPr>
            <w:r>
              <w:rPr>
                <w:rFonts w:hint="eastAsia"/>
              </w:rPr>
              <w:t>受影響期間能否按主動報價準則報價</w:t>
            </w:r>
          </w:p>
        </w:tc>
        <w:tc>
          <w:tcPr>
            <w:tcW w:w="5670" w:type="dxa"/>
          </w:tcPr>
          <w:p w14:paraId="1810C50F" w14:textId="10EFB306" w:rsidR="00272FB1" w:rsidRDefault="00C14051" w:rsidP="008D139C">
            <w:pPr>
              <w:tabs>
                <w:tab w:val="left" w:pos="3969"/>
              </w:tabs>
              <w:rPr>
                <w:rFonts w:hint="eastAsia"/>
              </w:rPr>
            </w:pPr>
            <w:r w:rsidRPr="00C14051">
              <w:rPr>
                <w:rFonts w:hint="eastAsia"/>
              </w:rPr>
              <w:t>於受影響期間透過經紀編號</w:t>
            </w:r>
            <w:r w:rsidR="00482393">
              <w:rPr>
                <w:rFonts w:hint="eastAsia"/>
              </w:rPr>
              <w:t>0</w:t>
            </w:r>
            <w:r w:rsidR="00482393">
              <w:t>402</w:t>
            </w:r>
            <w:r w:rsidRPr="00C14051">
              <w:rPr>
                <w:rFonts w:hint="eastAsia"/>
              </w:rPr>
              <w:t>提供</w:t>
            </w:r>
          </w:p>
          <w:p w14:paraId="35B95D1B" w14:textId="780CA487" w:rsidR="001F5DF4" w:rsidRPr="00C14051" w:rsidRDefault="001F5DF4" w:rsidP="008D139C">
            <w:pPr>
              <w:tabs>
                <w:tab w:val="left" w:pos="3969"/>
              </w:tabs>
            </w:pPr>
          </w:p>
        </w:tc>
      </w:tr>
      <w:tr w:rsidR="00272FB1" w14:paraId="469003B8" w14:textId="77777777" w:rsidTr="008D139C">
        <w:tc>
          <w:tcPr>
            <w:tcW w:w="4077" w:type="dxa"/>
          </w:tcPr>
          <w:p w14:paraId="5DF2A28B" w14:textId="77777777" w:rsidR="00272FB1" w:rsidRPr="00B0187C" w:rsidRDefault="00272FB1" w:rsidP="008D139C">
            <w:pPr>
              <w:tabs>
                <w:tab w:val="left" w:pos="3686"/>
              </w:tabs>
            </w:pPr>
            <w:r>
              <w:rPr>
                <w:rFonts w:hint="eastAsia"/>
              </w:rPr>
              <w:t>受影響期間能否按回應報價準則報價</w:t>
            </w:r>
          </w:p>
          <w:p w14:paraId="40529A9E" w14:textId="77777777" w:rsidR="00272FB1" w:rsidRPr="00B0187C" w:rsidRDefault="00272FB1" w:rsidP="008D139C">
            <w:pPr>
              <w:tabs>
                <w:tab w:val="left" w:pos="3686"/>
              </w:tabs>
            </w:pPr>
          </w:p>
        </w:tc>
        <w:tc>
          <w:tcPr>
            <w:tcW w:w="5670" w:type="dxa"/>
          </w:tcPr>
          <w:p w14:paraId="3C027D5C" w14:textId="6CA60DB4" w:rsidR="00272FB1" w:rsidRPr="00113C71" w:rsidRDefault="00272FB1" w:rsidP="008D139C">
            <w:pPr>
              <w:tabs>
                <w:tab w:val="left" w:pos="3969"/>
              </w:tabs>
              <w:rPr>
                <w:lang w:val="en-AU"/>
              </w:rPr>
            </w:pPr>
            <w:r>
              <w:rPr>
                <w:rFonts w:hint="eastAsia"/>
              </w:rPr>
              <w:t>當致電索取報價電話號碼</w:t>
            </w:r>
            <w:r w:rsidR="00482393">
              <w:rPr>
                <w:rFonts w:hint="eastAsia"/>
              </w:rPr>
              <w:t xml:space="preserve"> </w:t>
            </w:r>
            <w:r>
              <w:t>(852) 2971 6628</w:t>
            </w:r>
            <w:r>
              <w:rPr>
                <w:rFonts w:hint="eastAsia"/>
              </w:rPr>
              <w:t>時會盡力提供報價</w:t>
            </w:r>
          </w:p>
        </w:tc>
      </w:tr>
      <w:tr w:rsidR="00272FB1" w14:paraId="07CF19CC" w14:textId="77777777" w:rsidTr="008D139C">
        <w:tc>
          <w:tcPr>
            <w:tcW w:w="4077" w:type="dxa"/>
          </w:tcPr>
          <w:p w14:paraId="1DEB86C2" w14:textId="77777777" w:rsidR="00272FB1" w:rsidRPr="00726603" w:rsidRDefault="00272FB1" w:rsidP="008D139C">
            <w:pPr>
              <w:tabs>
                <w:tab w:val="left" w:pos="3686"/>
              </w:tabs>
            </w:pPr>
            <w:r>
              <w:rPr>
                <w:rFonts w:hint="eastAsia"/>
              </w:rPr>
              <w:t>暫時更改流通量提供者經紀編號</w:t>
            </w:r>
            <w:r>
              <w:tab/>
            </w:r>
          </w:p>
        </w:tc>
        <w:tc>
          <w:tcPr>
            <w:tcW w:w="5670" w:type="dxa"/>
          </w:tcPr>
          <w:p w14:paraId="6F9D7CF1" w14:textId="2B67A861" w:rsidR="00272FB1" w:rsidRDefault="006A00A1" w:rsidP="008D139C">
            <w:pPr>
              <w:tabs>
                <w:tab w:val="left" w:pos="3969"/>
              </w:tabs>
              <w:rPr>
                <w:rFonts w:hint="eastAsia"/>
              </w:rPr>
            </w:pPr>
            <w:r w:rsidRPr="006A00A1">
              <w:rPr>
                <w:rFonts w:hint="eastAsia"/>
              </w:rPr>
              <w:t>於受影響期間經紀編號</w:t>
            </w:r>
            <w:r w:rsidR="00482393">
              <w:rPr>
                <w:rFonts w:hint="eastAsia"/>
              </w:rPr>
              <w:t xml:space="preserve"> </w:t>
            </w:r>
            <w:r w:rsidR="00482393">
              <w:t>0402</w:t>
            </w:r>
            <w:r w:rsidRPr="006A00A1">
              <w:rPr>
                <w:rFonts w:hint="eastAsia"/>
              </w:rPr>
              <w:t>用作回應報價要求</w:t>
            </w:r>
          </w:p>
        </w:tc>
      </w:tr>
    </w:tbl>
    <w:p w14:paraId="2F1D5E7C" w14:textId="2E6EBD45" w:rsidR="00272FB1" w:rsidRDefault="00272FB1" w:rsidP="00883013">
      <w:pPr>
        <w:rPr>
          <w:i/>
        </w:rPr>
      </w:pPr>
    </w:p>
    <w:p w14:paraId="69F8ECF6" w14:textId="3216C29C" w:rsidR="0014465D" w:rsidRDefault="00EA5DE6" w:rsidP="0014465D">
      <w:pPr>
        <w:jc w:val="both"/>
      </w:pPr>
      <w:r w:rsidRPr="00EA5DE6">
        <w:rPr>
          <w:rFonts w:hint="eastAsia"/>
        </w:rPr>
        <w:t>受影響流通量提供者已自今天</w:t>
      </w:r>
      <w:r w:rsidR="00482393">
        <w:t xml:space="preserve"> 10:11 am</w:t>
      </w:r>
      <w:r w:rsidRPr="00EA5DE6">
        <w:rPr>
          <w:rFonts w:hint="eastAsia"/>
        </w:rPr>
        <w:t>起為受影響的結構性產品恢復提供流通量。</w:t>
      </w:r>
    </w:p>
    <w:p w14:paraId="33358251" w14:textId="77777777" w:rsidR="00EA5DE6" w:rsidRDefault="00EA5DE6" w:rsidP="0014465D">
      <w:pPr>
        <w:jc w:val="both"/>
      </w:pPr>
    </w:p>
    <w:p w14:paraId="0DA77B14" w14:textId="77777777" w:rsidR="00272FB1" w:rsidRPr="00C31D8E" w:rsidRDefault="00272FB1" w:rsidP="004C72BD">
      <w:pPr>
        <w:pStyle w:val="BodyText"/>
        <w:spacing w:after="0"/>
        <w:jc w:val="both"/>
        <w:rPr>
          <w:b/>
          <w:color w:val="000000"/>
          <w:sz w:val="24"/>
          <w:lang w:val="de-DE" w:eastAsia="zh-TW"/>
        </w:rPr>
      </w:pPr>
      <w:r>
        <w:rPr>
          <w:rFonts w:hint="eastAsia"/>
          <w:b/>
          <w:color w:val="000000"/>
          <w:sz w:val="24"/>
          <w:lang w:val="de-DE" w:eastAsia="zh-TW"/>
        </w:rPr>
        <w:t>瑞士銀行</w:t>
      </w:r>
      <w:r>
        <w:rPr>
          <w:b/>
          <w:color w:val="000000"/>
          <w:sz w:val="24"/>
          <w:lang w:val="de-DE" w:eastAsia="zh-TW"/>
        </w:rPr>
        <w:t>(</w:t>
      </w:r>
      <w:r w:rsidRPr="00C31D8E">
        <w:rPr>
          <w:b/>
          <w:color w:val="000000"/>
          <w:sz w:val="24"/>
          <w:lang w:val="de-DE" w:eastAsia="zh-TW"/>
        </w:rPr>
        <w:t>UBS AG</w:t>
      </w:r>
      <w:r>
        <w:rPr>
          <w:b/>
          <w:color w:val="000000"/>
          <w:sz w:val="24"/>
          <w:lang w:val="de-DE" w:eastAsia="zh-TW"/>
        </w:rPr>
        <w:t>)</w:t>
      </w:r>
    </w:p>
    <w:p w14:paraId="6D295C58" w14:textId="77353ABB" w:rsidR="00272FB1" w:rsidRPr="00DA481B" w:rsidRDefault="00272FB1" w:rsidP="00DA481B">
      <w:pPr>
        <w:tabs>
          <w:tab w:val="left" w:pos="3969"/>
        </w:tabs>
        <w:rPr>
          <w:rFonts w:eastAsiaTheme="minorEastAsia"/>
          <w:lang w:eastAsia="zh-CN"/>
        </w:rPr>
      </w:pPr>
      <w:r w:rsidRPr="00DA481B">
        <w:rPr>
          <w:rFonts w:hint="eastAsia"/>
        </w:rPr>
        <w:t>香港，</w:t>
      </w:r>
      <w:r w:rsidR="00482393">
        <w:t>2022</w:t>
      </w:r>
      <w:r w:rsidR="0009372F" w:rsidRPr="00DA481B">
        <w:rPr>
          <w:rFonts w:hint="eastAsia"/>
        </w:rPr>
        <w:t>年</w:t>
      </w:r>
      <w:r w:rsidR="00482393">
        <w:t xml:space="preserve"> 1</w:t>
      </w:r>
      <w:r w:rsidR="0009372F" w:rsidRPr="00DA481B">
        <w:rPr>
          <w:rFonts w:hint="eastAsia"/>
        </w:rPr>
        <w:t>月</w:t>
      </w:r>
      <w:r w:rsidR="00482393">
        <w:t xml:space="preserve"> 17</w:t>
      </w:r>
      <w:r w:rsidR="0009372F" w:rsidRPr="00DA481B">
        <w:rPr>
          <w:rFonts w:hint="eastAsia"/>
        </w:rPr>
        <w:t>日</w:t>
      </w:r>
    </w:p>
    <w:sectPr w:rsidR="00272FB1" w:rsidRPr="00DA481B" w:rsidSect="0023167B">
      <w:pgSz w:w="12240" w:h="15840"/>
      <w:pgMar w:top="720" w:right="1325" w:bottom="720" w:left="128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06BC9" w14:textId="77777777" w:rsidR="00272FB1" w:rsidRDefault="00272FB1" w:rsidP="000B34BF">
      <w:r>
        <w:separator/>
      </w:r>
    </w:p>
  </w:endnote>
  <w:endnote w:type="continuationSeparator" w:id="0">
    <w:p w14:paraId="6F7C7EEB" w14:textId="77777777" w:rsidR="00272FB1" w:rsidRDefault="00272FB1" w:rsidP="000B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0CE07" w14:textId="77777777" w:rsidR="00272FB1" w:rsidRDefault="00272FB1" w:rsidP="000B34BF">
      <w:r>
        <w:separator/>
      </w:r>
    </w:p>
  </w:footnote>
  <w:footnote w:type="continuationSeparator" w:id="0">
    <w:p w14:paraId="1369976C" w14:textId="77777777" w:rsidR="00272FB1" w:rsidRDefault="00272FB1" w:rsidP="000B3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4CEB"/>
    <w:multiLevelType w:val="hybridMultilevel"/>
    <w:tmpl w:val="5306A3F4"/>
    <w:lvl w:ilvl="0" w:tplc="6CF6AD66">
      <w:start w:val="1"/>
      <w:numFmt w:val="bullet"/>
      <w:lvlText w:val=""/>
      <w:lvlJc w:val="left"/>
      <w:pPr>
        <w:ind w:left="840" w:hanging="480"/>
      </w:pPr>
      <w:rPr>
        <w:rFonts w:ascii="Wingdings" w:hAnsi="Wingdings" w:hint="default"/>
        <w:sz w:val="24"/>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15:restartNumberingAfterBreak="0">
    <w:nsid w:val="354F48AF"/>
    <w:multiLevelType w:val="hybridMultilevel"/>
    <w:tmpl w:val="55FC1904"/>
    <w:lvl w:ilvl="0" w:tplc="6CF6AD66">
      <w:start w:val="1"/>
      <w:numFmt w:val="bullet"/>
      <w:lvlText w:val=""/>
      <w:lvlJc w:val="left"/>
      <w:pPr>
        <w:ind w:left="840" w:hanging="480"/>
      </w:pPr>
      <w:rPr>
        <w:rFonts w:ascii="Wingdings" w:hAnsi="Wingdings" w:hint="default"/>
        <w:sz w:val="24"/>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 w15:restartNumberingAfterBreak="0">
    <w:nsid w:val="505B7AA9"/>
    <w:multiLevelType w:val="hybridMultilevel"/>
    <w:tmpl w:val="16728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5592D"/>
    <w:multiLevelType w:val="hybridMultilevel"/>
    <w:tmpl w:val="A334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D0EDE"/>
    <w:multiLevelType w:val="hybridMultilevel"/>
    <w:tmpl w:val="27CE9634"/>
    <w:lvl w:ilvl="0" w:tplc="917CB9D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44970864_1"/>
    <w:docVar w:name="kwmDescription" w:val="UBS Warrants – Liquidity Provision Service Interruption and Resumption Announcement (Chi)"/>
  </w:docVars>
  <w:rsids>
    <w:rsidRoot w:val="00D36248"/>
    <w:rsid w:val="00000FF8"/>
    <w:rsid w:val="00006131"/>
    <w:rsid w:val="00006572"/>
    <w:rsid w:val="0000736D"/>
    <w:rsid w:val="00007F82"/>
    <w:rsid w:val="000170A9"/>
    <w:rsid w:val="00020E70"/>
    <w:rsid w:val="000441BB"/>
    <w:rsid w:val="00056AEF"/>
    <w:rsid w:val="00072E09"/>
    <w:rsid w:val="0007480C"/>
    <w:rsid w:val="00087D17"/>
    <w:rsid w:val="0009372F"/>
    <w:rsid w:val="000A22EA"/>
    <w:rsid w:val="000A7250"/>
    <w:rsid w:val="000B34BF"/>
    <w:rsid w:val="000B50ED"/>
    <w:rsid w:val="000C712F"/>
    <w:rsid w:val="000D4F38"/>
    <w:rsid w:val="0010502D"/>
    <w:rsid w:val="00113C71"/>
    <w:rsid w:val="00115254"/>
    <w:rsid w:val="00130E9E"/>
    <w:rsid w:val="0014465D"/>
    <w:rsid w:val="00144B60"/>
    <w:rsid w:val="00157DEA"/>
    <w:rsid w:val="001679E5"/>
    <w:rsid w:val="00177FC5"/>
    <w:rsid w:val="001A361E"/>
    <w:rsid w:val="001D19DF"/>
    <w:rsid w:val="001D625D"/>
    <w:rsid w:val="001F2E89"/>
    <w:rsid w:val="001F5DF4"/>
    <w:rsid w:val="00225035"/>
    <w:rsid w:val="002307B1"/>
    <w:rsid w:val="00230AAA"/>
    <w:rsid w:val="0023167B"/>
    <w:rsid w:val="00246727"/>
    <w:rsid w:val="00254375"/>
    <w:rsid w:val="0026409D"/>
    <w:rsid w:val="00265F7A"/>
    <w:rsid w:val="00272FB1"/>
    <w:rsid w:val="00275F8D"/>
    <w:rsid w:val="0028664C"/>
    <w:rsid w:val="002C6D1F"/>
    <w:rsid w:val="002D6D45"/>
    <w:rsid w:val="002E0272"/>
    <w:rsid w:val="002E7E2A"/>
    <w:rsid w:val="00326AC6"/>
    <w:rsid w:val="00327018"/>
    <w:rsid w:val="00330962"/>
    <w:rsid w:val="0034200D"/>
    <w:rsid w:val="003536A3"/>
    <w:rsid w:val="003540EB"/>
    <w:rsid w:val="00360D9F"/>
    <w:rsid w:val="00370650"/>
    <w:rsid w:val="0037432D"/>
    <w:rsid w:val="00383ADE"/>
    <w:rsid w:val="00383DEB"/>
    <w:rsid w:val="003B035E"/>
    <w:rsid w:val="003B1F42"/>
    <w:rsid w:val="003C347E"/>
    <w:rsid w:val="003C4212"/>
    <w:rsid w:val="003D4A3E"/>
    <w:rsid w:val="003D6381"/>
    <w:rsid w:val="003E0F70"/>
    <w:rsid w:val="00416E71"/>
    <w:rsid w:val="00440B0F"/>
    <w:rsid w:val="00464301"/>
    <w:rsid w:val="00465DB5"/>
    <w:rsid w:val="00482393"/>
    <w:rsid w:val="004852E2"/>
    <w:rsid w:val="004B0A4F"/>
    <w:rsid w:val="004C72BD"/>
    <w:rsid w:val="004D2A3D"/>
    <w:rsid w:val="004D497D"/>
    <w:rsid w:val="00512B6F"/>
    <w:rsid w:val="00513398"/>
    <w:rsid w:val="00514C01"/>
    <w:rsid w:val="00524853"/>
    <w:rsid w:val="005275AD"/>
    <w:rsid w:val="005454E2"/>
    <w:rsid w:val="005476AE"/>
    <w:rsid w:val="00551262"/>
    <w:rsid w:val="00575CA8"/>
    <w:rsid w:val="0057798E"/>
    <w:rsid w:val="00583CDC"/>
    <w:rsid w:val="005942BF"/>
    <w:rsid w:val="005A29EC"/>
    <w:rsid w:val="005C20BB"/>
    <w:rsid w:val="005C410A"/>
    <w:rsid w:val="005D592D"/>
    <w:rsid w:val="005F6893"/>
    <w:rsid w:val="00606415"/>
    <w:rsid w:val="00631781"/>
    <w:rsid w:val="00671B71"/>
    <w:rsid w:val="006735CB"/>
    <w:rsid w:val="00673D8D"/>
    <w:rsid w:val="0069550E"/>
    <w:rsid w:val="006A00A1"/>
    <w:rsid w:val="006B14AF"/>
    <w:rsid w:val="006B4C78"/>
    <w:rsid w:val="006C45AE"/>
    <w:rsid w:val="006C78B6"/>
    <w:rsid w:val="006E7067"/>
    <w:rsid w:val="0071443B"/>
    <w:rsid w:val="00721999"/>
    <w:rsid w:val="00726603"/>
    <w:rsid w:val="00743CDD"/>
    <w:rsid w:val="007558B1"/>
    <w:rsid w:val="00760B0C"/>
    <w:rsid w:val="00780601"/>
    <w:rsid w:val="00784775"/>
    <w:rsid w:val="007933D1"/>
    <w:rsid w:val="007B48A1"/>
    <w:rsid w:val="007C669C"/>
    <w:rsid w:val="007D2268"/>
    <w:rsid w:val="007E5D0C"/>
    <w:rsid w:val="00802B37"/>
    <w:rsid w:val="00811B53"/>
    <w:rsid w:val="00816F5F"/>
    <w:rsid w:val="008306B1"/>
    <w:rsid w:val="00837C5E"/>
    <w:rsid w:val="00843060"/>
    <w:rsid w:val="00851F2B"/>
    <w:rsid w:val="00852DD9"/>
    <w:rsid w:val="00862250"/>
    <w:rsid w:val="00873495"/>
    <w:rsid w:val="00875E05"/>
    <w:rsid w:val="00883013"/>
    <w:rsid w:val="008B2647"/>
    <w:rsid w:val="008C3B43"/>
    <w:rsid w:val="008D139C"/>
    <w:rsid w:val="00922E24"/>
    <w:rsid w:val="0092491D"/>
    <w:rsid w:val="00924961"/>
    <w:rsid w:val="00925B8F"/>
    <w:rsid w:val="0096596C"/>
    <w:rsid w:val="009842E0"/>
    <w:rsid w:val="009907F0"/>
    <w:rsid w:val="009922C9"/>
    <w:rsid w:val="00994EEB"/>
    <w:rsid w:val="009B1DB5"/>
    <w:rsid w:val="009C415A"/>
    <w:rsid w:val="009D2994"/>
    <w:rsid w:val="009E4B60"/>
    <w:rsid w:val="009F59D0"/>
    <w:rsid w:val="00A02A24"/>
    <w:rsid w:val="00A311BC"/>
    <w:rsid w:val="00A32820"/>
    <w:rsid w:val="00A34605"/>
    <w:rsid w:val="00A36447"/>
    <w:rsid w:val="00A37B7A"/>
    <w:rsid w:val="00A46EF1"/>
    <w:rsid w:val="00A50594"/>
    <w:rsid w:val="00A51BA2"/>
    <w:rsid w:val="00A57183"/>
    <w:rsid w:val="00A57FAC"/>
    <w:rsid w:val="00A75742"/>
    <w:rsid w:val="00A876B7"/>
    <w:rsid w:val="00AA4366"/>
    <w:rsid w:val="00AC5CFB"/>
    <w:rsid w:val="00AC5EF5"/>
    <w:rsid w:val="00AE545B"/>
    <w:rsid w:val="00B0187C"/>
    <w:rsid w:val="00B11DF5"/>
    <w:rsid w:val="00B12AE6"/>
    <w:rsid w:val="00B14561"/>
    <w:rsid w:val="00B26808"/>
    <w:rsid w:val="00B44704"/>
    <w:rsid w:val="00B8265E"/>
    <w:rsid w:val="00B91A4A"/>
    <w:rsid w:val="00BA59A4"/>
    <w:rsid w:val="00BC22B4"/>
    <w:rsid w:val="00BC49DA"/>
    <w:rsid w:val="00BE4813"/>
    <w:rsid w:val="00C14051"/>
    <w:rsid w:val="00C24DE8"/>
    <w:rsid w:val="00C31D8E"/>
    <w:rsid w:val="00C3347E"/>
    <w:rsid w:val="00C44D88"/>
    <w:rsid w:val="00C542CB"/>
    <w:rsid w:val="00C54FA9"/>
    <w:rsid w:val="00C661F8"/>
    <w:rsid w:val="00C80768"/>
    <w:rsid w:val="00C87F4D"/>
    <w:rsid w:val="00C90CB8"/>
    <w:rsid w:val="00C951A1"/>
    <w:rsid w:val="00CA5D49"/>
    <w:rsid w:val="00CE224A"/>
    <w:rsid w:val="00CF2DDC"/>
    <w:rsid w:val="00CF7F29"/>
    <w:rsid w:val="00D03944"/>
    <w:rsid w:val="00D127C4"/>
    <w:rsid w:val="00D3196B"/>
    <w:rsid w:val="00D36248"/>
    <w:rsid w:val="00D37AEC"/>
    <w:rsid w:val="00D41A75"/>
    <w:rsid w:val="00D74448"/>
    <w:rsid w:val="00D778DF"/>
    <w:rsid w:val="00DA481B"/>
    <w:rsid w:val="00DB676C"/>
    <w:rsid w:val="00DB74C0"/>
    <w:rsid w:val="00DD10C3"/>
    <w:rsid w:val="00DE0DA4"/>
    <w:rsid w:val="00DE5010"/>
    <w:rsid w:val="00DF2675"/>
    <w:rsid w:val="00E1227A"/>
    <w:rsid w:val="00E3100D"/>
    <w:rsid w:val="00E42C3F"/>
    <w:rsid w:val="00E5207B"/>
    <w:rsid w:val="00E72EAF"/>
    <w:rsid w:val="00E744EF"/>
    <w:rsid w:val="00EA2B4A"/>
    <w:rsid w:val="00EA5DE6"/>
    <w:rsid w:val="00EA791E"/>
    <w:rsid w:val="00EB180A"/>
    <w:rsid w:val="00EB33C8"/>
    <w:rsid w:val="00EC0BB0"/>
    <w:rsid w:val="00EE691B"/>
    <w:rsid w:val="00EF0F01"/>
    <w:rsid w:val="00EF3F41"/>
    <w:rsid w:val="00F04A17"/>
    <w:rsid w:val="00F10A2B"/>
    <w:rsid w:val="00F130BC"/>
    <w:rsid w:val="00F13C8D"/>
    <w:rsid w:val="00F2005D"/>
    <w:rsid w:val="00F35321"/>
    <w:rsid w:val="00F44111"/>
    <w:rsid w:val="00F6141C"/>
    <w:rsid w:val="00F61667"/>
    <w:rsid w:val="00F75A0E"/>
    <w:rsid w:val="00FA3BF3"/>
    <w:rsid w:val="00FE1B3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3A6D50A7"/>
  <w15:docId w15:val="{ED488705-CE13-4BEF-8289-FAE7D33B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25D"/>
    <w:rPr>
      <w:sz w:val="24"/>
      <w:szCs w:val="24"/>
      <w:lang w:eastAsia="zh-TW"/>
    </w:rPr>
  </w:style>
  <w:style w:type="paragraph" w:styleId="Heading4">
    <w:name w:val="heading 4"/>
    <w:basedOn w:val="Normal"/>
    <w:next w:val="NormalIndent"/>
    <w:link w:val="Heading4Char"/>
    <w:uiPriority w:val="99"/>
    <w:qFormat/>
    <w:rsid w:val="009922C9"/>
    <w:pPr>
      <w:keepNext/>
      <w:overflowPunct w:val="0"/>
      <w:autoSpaceDE w:val="0"/>
      <w:autoSpaceDN w:val="0"/>
      <w:adjustRightInd w:val="0"/>
      <w:jc w:val="right"/>
      <w:textAlignment w:val="baseline"/>
      <w:outlineLvl w:val="3"/>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922C9"/>
    <w:rPr>
      <w:rFonts w:cs="Times New Roman"/>
      <w:b/>
      <w:i/>
      <w:sz w:val="24"/>
    </w:rPr>
  </w:style>
  <w:style w:type="paragraph" w:styleId="ListParagraph">
    <w:name w:val="List Paragraph"/>
    <w:basedOn w:val="Normal"/>
    <w:uiPriority w:val="99"/>
    <w:qFormat/>
    <w:rsid w:val="00A50594"/>
    <w:pPr>
      <w:ind w:leftChars="200" w:left="480"/>
    </w:pPr>
  </w:style>
  <w:style w:type="paragraph" w:styleId="Header">
    <w:name w:val="header"/>
    <w:basedOn w:val="Normal"/>
    <w:link w:val="HeaderChar"/>
    <w:uiPriority w:val="99"/>
    <w:rsid w:val="000B34B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0B34BF"/>
    <w:rPr>
      <w:rFonts w:cs="Times New Roman"/>
    </w:rPr>
  </w:style>
  <w:style w:type="paragraph" w:styleId="Footer">
    <w:name w:val="footer"/>
    <w:basedOn w:val="Normal"/>
    <w:link w:val="FooterChar"/>
    <w:uiPriority w:val="99"/>
    <w:rsid w:val="000B34B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0B34BF"/>
    <w:rPr>
      <w:rFonts w:cs="Times New Roman"/>
    </w:rPr>
  </w:style>
  <w:style w:type="paragraph" w:styleId="NormalIndent">
    <w:name w:val="Normal Indent"/>
    <w:basedOn w:val="Normal"/>
    <w:uiPriority w:val="99"/>
    <w:rsid w:val="009922C9"/>
    <w:pPr>
      <w:ind w:left="480"/>
    </w:pPr>
    <w:rPr>
      <w:szCs w:val="20"/>
      <w:lang w:val="en-GB"/>
    </w:rPr>
  </w:style>
  <w:style w:type="paragraph" w:styleId="Date">
    <w:name w:val="Date"/>
    <w:basedOn w:val="Normal"/>
    <w:next w:val="Normal"/>
    <w:link w:val="DateChar"/>
    <w:uiPriority w:val="99"/>
    <w:rsid w:val="009922C9"/>
    <w:pPr>
      <w:overflowPunct w:val="0"/>
      <w:autoSpaceDE w:val="0"/>
      <w:autoSpaceDN w:val="0"/>
      <w:adjustRightInd w:val="0"/>
      <w:jc w:val="right"/>
      <w:textAlignment w:val="baseline"/>
    </w:pPr>
    <w:rPr>
      <w:szCs w:val="20"/>
    </w:rPr>
  </w:style>
  <w:style w:type="character" w:customStyle="1" w:styleId="DateChar">
    <w:name w:val="Date Char"/>
    <w:basedOn w:val="DefaultParagraphFont"/>
    <w:link w:val="Date"/>
    <w:uiPriority w:val="99"/>
    <w:locked/>
    <w:rsid w:val="009922C9"/>
    <w:rPr>
      <w:rFonts w:cs="Times New Roman"/>
      <w:sz w:val="24"/>
    </w:rPr>
  </w:style>
  <w:style w:type="table" w:styleId="TableGrid">
    <w:name w:val="Table Grid"/>
    <w:basedOn w:val="TableNormal"/>
    <w:uiPriority w:val="99"/>
    <w:rsid w:val="008830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44D88"/>
    <w:pPr>
      <w:spacing w:after="240"/>
    </w:pPr>
    <w:rPr>
      <w:sz w:val="23"/>
      <w:szCs w:val="20"/>
      <w:lang w:val="en-AU" w:eastAsia="en-US"/>
    </w:rPr>
  </w:style>
  <w:style w:type="character" w:customStyle="1" w:styleId="BodyTextChar">
    <w:name w:val="Body Text Char"/>
    <w:basedOn w:val="DefaultParagraphFont"/>
    <w:link w:val="BodyText"/>
    <w:uiPriority w:val="99"/>
    <w:locked/>
    <w:rsid w:val="00C44D88"/>
    <w:rPr>
      <w:rFonts w:cs="Times New Roman"/>
      <w:sz w:val="23"/>
      <w:lang w:val="en-AU" w:eastAsia="en-US"/>
    </w:rPr>
  </w:style>
  <w:style w:type="paragraph" w:styleId="PlainText">
    <w:name w:val="Plain Text"/>
    <w:basedOn w:val="Normal"/>
    <w:link w:val="PlainTextChar"/>
    <w:uiPriority w:val="99"/>
    <w:rsid w:val="00C44D88"/>
    <w:pPr>
      <w:widowControl w:val="0"/>
    </w:pPr>
    <w:rPr>
      <w:rFonts w:ascii="MingLiU" w:eastAsia="MingLiU" w:hAnsi="Courier New" w:cs="Courier New"/>
      <w:kern w:val="2"/>
    </w:rPr>
  </w:style>
  <w:style w:type="character" w:customStyle="1" w:styleId="PlainTextChar">
    <w:name w:val="Plain Text Char"/>
    <w:basedOn w:val="DefaultParagraphFont"/>
    <w:link w:val="PlainText"/>
    <w:uiPriority w:val="99"/>
    <w:locked/>
    <w:rsid w:val="00C44D88"/>
    <w:rPr>
      <w:rFonts w:ascii="MingLiU" w:eastAsia="MingLiU" w:hAnsi="Courier New" w:cs="Courier New"/>
      <w:kern w:val="2"/>
      <w:sz w:val="24"/>
      <w:szCs w:val="24"/>
    </w:rPr>
  </w:style>
  <w:style w:type="paragraph" w:styleId="Subtitle">
    <w:name w:val="Subtitle"/>
    <w:basedOn w:val="Normal"/>
    <w:link w:val="SubtitleChar"/>
    <w:uiPriority w:val="99"/>
    <w:qFormat/>
    <w:rsid w:val="00C44D88"/>
    <w:pPr>
      <w:widowControl w:val="0"/>
      <w:tabs>
        <w:tab w:val="left" w:pos="709"/>
        <w:tab w:val="left" w:pos="1418"/>
        <w:tab w:val="left" w:pos="2126"/>
        <w:tab w:val="left" w:pos="2835"/>
        <w:tab w:val="left" w:pos="3544"/>
        <w:tab w:val="left" w:pos="4253"/>
        <w:tab w:val="left" w:pos="4961"/>
      </w:tabs>
      <w:snapToGrid w:val="0"/>
      <w:spacing w:before="240"/>
      <w:jc w:val="center"/>
    </w:pPr>
    <w:rPr>
      <w:b/>
      <w:kern w:val="2"/>
      <w:sz w:val="28"/>
      <w:szCs w:val="20"/>
    </w:rPr>
  </w:style>
  <w:style w:type="character" w:customStyle="1" w:styleId="SubtitleChar">
    <w:name w:val="Subtitle Char"/>
    <w:basedOn w:val="DefaultParagraphFont"/>
    <w:link w:val="Subtitle"/>
    <w:uiPriority w:val="99"/>
    <w:locked/>
    <w:rsid w:val="00C44D88"/>
    <w:rPr>
      <w:rFonts w:cs="Times New Roman"/>
      <w:b/>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979044">
      <w:bodyDiv w:val="1"/>
      <w:marLeft w:val="0"/>
      <w:marRight w:val="0"/>
      <w:marTop w:val="0"/>
      <w:marBottom w:val="0"/>
      <w:divBdr>
        <w:top w:val="none" w:sz="0" w:space="0" w:color="auto"/>
        <w:left w:val="none" w:sz="0" w:space="0" w:color="auto"/>
        <w:bottom w:val="none" w:sz="0" w:space="0" w:color="auto"/>
        <w:right w:val="none" w:sz="0" w:space="0" w:color="auto"/>
      </w:divBdr>
    </w:div>
    <w:div w:id="1631981406">
      <w:bodyDiv w:val="1"/>
      <w:marLeft w:val="0"/>
      <w:marRight w:val="0"/>
      <w:marTop w:val="0"/>
      <w:marBottom w:val="0"/>
      <w:divBdr>
        <w:top w:val="none" w:sz="0" w:space="0" w:color="auto"/>
        <w:left w:val="none" w:sz="0" w:space="0" w:color="auto"/>
        <w:bottom w:val="none" w:sz="0" w:space="0" w:color="auto"/>
        <w:right w:val="none" w:sz="0" w:space="0" w:color="auto"/>
      </w:divBdr>
    </w:div>
    <w:div w:id="187426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 H o n g K o n g ! 4 4 9 7 0 8 6 4 . 1 < / d o c u m e n t i d >  
     < s e n d e r i d > C N Y I U < / s e n d e r i d >  
     < s e n d e r e m a i l > c h e r i s h . y i u @ h k . k w m . c o m < / s e n d e r e m a i l >  
     < l a s t m o d i f i e d > 2 0 2 1 - 1 1 - 1 9 T 1 2 : 2 9 : 0 0 . 0 0 0 0 0 0 0 + 0 8 : 0 0 < / l a s t m o d i f i e d >  
     < d a t a b a s e > H o n g K o n g < / d a t a b a s e >  
 < / p r o p e r t i e s > 
</file>

<file path=customXml/itemProps1.xml><?xml version="1.0" encoding="utf-8"?>
<ds:datastoreItem xmlns:ds="http://schemas.openxmlformats.org/officeDocument/2006/customXml" ds:itemID="{78CC4A01-E843-4196-8F67-B2ED57FA21C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185</Characters>
  <Application>Microsoft Office Word</Application>
  <DocSecurity>0</DocSecurity>
  <PresentationFormat>00d0fe7c-ae6c-4266-a3a8-da0b5163f057</PresentationFormat>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 Larissa</dc:creator>
  <cp:lastModifiedBy>Chu, Larissa</cp:lastModifiedBy>
  <cp:revision>3</cp:revision>
  <dcterms:created xsi:type="dcterms:W3CDTF">2022-01-17T02:22:00Z</dcterms:created>
  <dcterms:modified xsi:type="dcterms:W3CDTF">2022-01-17T02:29:00Z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44970864_1</vt:lpwstr>
  </property>
  <property fmtid="{D5CDD505-2E9C-101B-9397-08002B2CF9AE}" pid="3" name="kwmDocumentID">
    <vt:lpwstr>HongKong!44970864.1</vt:lpwstr>
  </property>
</Properties>
</file>